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191" w:rsidRPr="008E7829" w:rsidRDefault="00CD5191" w:rsidP="00AD610E">
      <w:pPr>
        <w:jc w:val="center"/>
        <w:rPr>
          <w:rFonts w:asciiTheme="minorHAnsi" w:hAnsiTheme="minorHAnsi"/>
          <w:b/>
          <w:color w:val="FF0000"/>
          <w:sz w:val="24"/>
        </w:rPr>
      </w:pPr>
      <w:r w:rsidRPr="008E7829">
        <w:rPr>
          <w:rFonts w:asciiTheme="minorHAnsi" w:hAnsiTheme="minorHAnsi"/>
          <w:b/>
          <w:color w:val="FF0000"/>
          <w:sz w:val="24"/>
        </w:rPr>
        <w:t xml:space="preserve">ANEXO </w:t>
      </w:r>
      <w:bookmarkStart w:id="0" w:name="_GoBack"/>
      <w:bookmarkEnd w:id="0"/>
      <w:r w:rsidR="006B6AEF">
        <w:rPr>
          <w:rFonts w:asciiTheme="minorHAnsi" w:hAnsiTheme="minorHAnsi"/>
          <w:b/>
          <w:color w:val="FF0000"/>
          <w:sz w:val="24"/>
        </w:rPr>
        <w:t>V</w:t>
      </w:r>
    </w:p>
    <w:p w:rsidR="00CD5191" w:rsidRPr="00BB0552" w:rsidRDefault="00CD5191" w:rsidP="00AD610E">
      <w:pPr>
        <w:ind w:right="160"/>
        <w:jc w:val="center"/>
        <w:rPr>
          <w:rFonts w:ascii="Calibri" w:hAnsi="Calibri"/>
          <w:b/>
          <w:sz w:val="24"/>
        </w:rPr>
      </w:pPr>
      <w:r w:rsidRPr="00BB0552">
        <w:rPr>
          <w:rFonts w:ascii="Calibri" w:hAnsi="Calibri"/>
          <w:b/>
          <w:sz w:val="24"/>
        </w:rPr>
        <w:t>MODELO DE INSTRUMENTO DE MEDIÇÃO DE RESULTADO (IMR)</w:t>
      </w:r>
    </w:p>
    <w:p w:rsidR="00CD5191" w:rsidRPr="00BB0552" w:rsidRDefault="00CD5191" w:rsidP="00AD610E">
      <w:pPr>
        <w:pStyle w:val="Corpodetexto"/>
        <w:rPr>
          <w:b/>
        </w:rPr>
      </w:pPr>
    </w:p>
    <w:p w:rsidR="00CD5191" w:rsidRPr="00BB0552" w:rsidRDefault="00CD5191" w:rsidP="00BC79F6">
      <w:pPr>
        <w:ind w:right="-1"/>
        <w:jc w:val="center"/>
        <w:rPr>
          <w:rFonts w:ascii="Calibri" w:hAnsi="Calibri"/>
          <w:b/>
          <w:sz w:val="24"/>
        </w:rPr>
      </w:pPr>
      <w:r w:rsidRPr="00BB0552">
        <w:rPr>
          <w:rFonts w:ascii="Calibri" w:hAnsi="Calibri"/>
          <w:b/>
          <w:sz w:val="24"/>
        </w:rPr>
        <w:t xml:space="preserve">(Avaliação da qualidade dos serviços) </w:t>
      </w:r>
    </w:p>
    <w:p w:rsidR="007468F2" w:rsidRPr="002B5A6A" w:rsidRDefault="007468F2" w:rsidP="00AD610E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p w:rsidR="002B5A6A" w:rsidRPr="002B5A6A" w:rsidRDefault="002B5A6A" w:rsidP="002B5A6A">
      <w:pPr>
        <w:widowControl w:val="0"/>
        <w:tabs>
          <w:tab w:val="left" w:pos="16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A qualidade dos serviços prestados será medida por meio dos indicadores estabelecidos abaixo.</w:t>
      </w:r>
    </w:p>
    <w:p w:rsidR="002B5A6A" w:rsidRPr="002B5A6A" w:rsidRDefault="002B5A6A" w:rsidP="002B5A6A">
      <w:pPr>
        <w:widowControl w:val="0"/>
        <w:tabs>
          <w:tab w:val="left" w:pos="74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1.1.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Quando os indicadores resultarem em valor acima de 6 pontos, além da glosa, poderá ser aplicada multa compensatória de forma proporcional à obrigação inadimplida, conforme sansão descrita n</w:t>
      </w:r>
      <w:r w:rsidR="00B66629">
        <w:rPr>
          <w:rFonts w:asciiTheme="minorHAnsi" w:hAnsiTheme="minorHAnsi" w:cstheme="minorHAnsi"/>
          <w:sz w:val="24"/>
        </w:rPr>
        <w:t>o</w:t>
      </w:r>
      <w:r w:rsidRPr="002B5A6A"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pacing w:val="-3"/>
          <w:sz w:val="24"/>
        </w:rPr>
        <w:t xml:space="preserve">Termo </w:t>
      </w:r>
      <w:r w:rsidRPr="002B5A6A">
        <w:rPr>
          <w:rFonts w:asciiTheme="minorHAnsi" w:hAnsiTheme="minorHAnsi" w:cstheme="minorHAnsi"/>
          <w:sz w:val="24"/>
        </w:rPr>
        <w:t>de</w:t>
      </w:r>
      <w:r w:rsidRPr="002B5A6A">
        <w:rPr>
          <w:rFonts w:asciiTheme="minorHAnsi" w:hAnsiTheme="minorHAnsi" w:cstheme="minorHAnsi"/>
          <w:spacing w:val="3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Referência.</w:t>
      </w:r>
    </w:p>
    <w:p w:rsidR="002B5A6A" w:rsidRPr="002B5A6A" w:rsidRDefault="002B5A6A" w:rsidP="002B5A6A">
      <w:pPr>
        <w:widowControl w:val="0"/>
        <w:tabs>
          <w:tab w:val="left" w:pos="74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b/>
          <w:sz w:val="24"/>
        </w:rPr>
        <w:t>2</w:t>
      </w:r>
      <w:r w:rsidRPr="002B5A6A">
        <w:rPr>
          <w:rFonts w:asciiTheme="minorHAnsi" w:hAnsiTheme="minorHAnsi" w:cstheme="minorHAnsi"/>
          <w:b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A recorrência de motivos que levaram à aplicação de glosas poderá se configurar inexecução do objeto do contrato, situação sujeita a sanções administrativas.</w:t>
      </w:r>
    </w:p>
    <w:p w:rsidR="002B5A6A" w:rsidRPr="002B5A6A" w:rsidRDefault="002B5A6A" w:rsidP="002B5A6A">
      <w:pPr>
        <w:widowControl w:val="0"/>
        <w:tabs>
          <w:tab w:val="left" w:pos="74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b/>
          <w:sz w:val="24"/>
        </w:rPr>
        <w:t>3</w:t>
      </w:r>
      <w:r w:rsidRPr="002B5A6A">
        <w:rPr>
          <w:rFonts w:asciiTheme="minorHAnsi" w:hAnsiTheme="minorHAnsi" w:cstheme="minorHAnsi"/>
          <w:b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As glosas definidas em cada um dos indicadores podem ser aplicadas de forma acumulativa.</w:t>
      </w:r>
    </w:p>
    <w:p w:rsidR="002B5A6A" w:rsidRPr="002B5A6A" w:rsidRDefault="002B5A6A" w:rsidP="002B5A6A">
      <w:pPr>
        <w:widowControl w:val="0"/>
        <w:tabs>
          <w:tab w:val="left" w:pos="78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b/>
          <w:sz w:val="24"/>
        </w:rPr>
        <w:t>4</w:t>
      </w:r>
      <w:r w:rsidRPr="002B5A6A">
        <w:rPr>
          <w:rFonts w:asciiTheme="minorHAnsi" w:hAnsiTheme="minorHAnsi" w:cstheme="minorHAnsi"/>
          <w:b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O resultado da apuração da pontuação e respectivo percentual da glosa, serão comunicados pelo fiscal do contrato, por meio de notificação formal, à então contratada, que terá prazo de 05 (cinco) dias úteis, a partir do recebimento da comunicação, para</w:t>
      </w:r>
      <w:r w:rsidRPr="002B5A6A">
        <w:rPr>
          <w:rFonts w:asciiTheme="minorHAnsi" w:hAnsiTheme="minorHAnsi" w:cstheme="minorHAnsi"/>
          <w:spacing w:val="-2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contestar.</w:t>
      </w:r>
    </w:p>
    <w:p w:rsidR="002B5A6A" w:rsidRPr="002B5A6A" w:rsidRDefault="002B5A6A" w:rsidP="002B5A6A">
      <w:pPr>
        <w:widowControl w:val="0"/>
        <w:tabs>
          <w:tab w:val="left" w:pos="781"/>
        </w:tabs>
        <w:autoSpaceDE w:val="0"/>
        <w:autoSpaceDN w:val="0"/>
        <w:jc w:val="both"/>
        <w:rPr>
          <w:rFonts w:asciiTheme="minorHAnsi" w:hAnsiTheme="minorHAnsi" w:cstheme="minorHAnsi"/>
          <w:sz w:val="24"/>
        </w:rPr>
      </w:pPr>
      <w:r w:rsidRPr="002B5A6A">
        <w:rPr>
          <w:rFonts w:asciiTheme="minorHAnsi" w:hAnsiTheme="minorHAnsi" w:cstheme="minorHAnsi"/>
          <w:b/>
          <w:sz w:val="24"/>
        </w:rPr>
        <w:t>1.</w:t>
      </w:r>
      <w:r>
        <w:rPr>
          <w:rFonts w:asciiTheme="minorHAnsi" w:hAnsiTheme="minorHAnsi" w:cstheme="minorHAnsi"/>
          <w:b/>
          <w:sz w:val="24"/>
        </w:rPr>
        <w:t>5</w:t>
      </w:r>
      <w:r w:rsidRPr="002B5A6A">
        <w:rPr>
          <w:rFonts w:asciiTheme="minorHAnsi" w:hAnsiTheme="minorHAnsi" w:cstheme="minorHAnsi"/>
          <w:b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B5A6A">
        <w:rPr>
          <w:rFonts w:asciiTheme="minorHAnsi" w:hAnsiTheme="minorHAnsi" w:cstheme="minorHAnsi"/>
          <w:sz w:val="24"/>
        </w:rPr>
        <w:t>A cada glosa, os valores do somatório serão zerados, de forma a não haver duplicidade.</w:t>
      </w:r>
    </w:p>
    <w:p w:rsidR="002B5A6A" w:rsidRPr="002B5A6A" w:rsidRDefault="002B5A6A" w:rsidP="002B5A6A">
      <w:pPr>
        <w:pStyle w:val="Corpodetexto"/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jc w:val="center"/>
        <w:tblLook w:val="01E0" w:firstRow="1" w:lastRow="1" w:firstColumn="1" w:lastColumn="1" w:noHBand="0" w:noVBand="0"/>
      </w:tblPr>
      <w:tblGrid>
        <w:gridCol w:w="2595"/>
        <w:gridCol w:w="7033"/>
      </w:tblGrid>
      <w:tr w:rsidR="002B5A6A" w:rsidRPr="002B5A6A" w:rsidTr="002B5A6A">
        <w:trPr>
          <w:trHeight w:val="459"/>
          <w:jc w:val="center"/>
        </w:trPr>
        <w:tc>
          <w:tcPr>
            <w:tcW w:w="0" w:type="auto"/>
            <w:gridSpan w:val="2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Indicador</w:t>
            </w:r>
          </w:p>
        </w:tc>
      </w:tr>
      <w:tr w:rsidR="002B5A6A" w:rsidRPr="002B5A6A" w:rsidTr="002B5A6A">
        <w:trPr>
          <w:trHeight w:val="203"/>
          <w:jc w:val="center"/>
        </w:trPr>
        <w:tc>
          <w:tcPr>
            <w:tcW w:w="0" w:type="auto"/>
            <w:gridSpan w:val="2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Nº 01– Somatório ponderado de ocorrências (irregularidades) apresentadas durante execução contratual.</w:t>
            </w:r>
          </w:p>
        </w:tc>
      </w:tr>
      <w:tr w:rsidR="002B5A6A" w:rsidRPr="002B5A6A" w:rsidTr="002B5A6A">
        <w:trPr>
          <w:trHeight w:val="478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Item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Descrição</w:t>
            </w:r>
          </w:p>
        </w:tc>
      </w:tr>
      <w:tr w:rsidR="002B5A6A" w:rsidRPr="002B5A6A" w:rsidTr="002B5A6A">
        <w:trPr>
          <w:trHeight w:val="509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Finalidade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Garantir que os serviços sejam realizados conforme a frequência especificada no Termo de Referência</w:t>
            </w:r>
          </w:p>
        </w:tc>
      </w:tr>
      <w:tr w:rsidR="002B5A6A" w:rsidRPr="002B5A6A" w:rsidTr="002B5A6A">
        <w:trPr>
          <w:trHeight w:val="388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Meta a cumprir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Prestação de 100% dos serviços dentro das especificações do TR</w:t>
            </w:r>
          </w:p>
        </w:tc>
      </w:tr>
      <w:tr w:rsidR="002B5A6A" w:rsidRPr="002B5A6A" w:rsidTr="002B5A6A">
        <w:trPr>
          <w:trHeight w:val="422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Instrumento de medição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Planilha de controle de ocorrências</w:t>
            </w:r>
          </w:p>
        </w:tc>
      </w:tr>
      <w:tr w:rsidR="002B5A6A" w:rsidRPr="002B5A6A" w:rsidTr="002B5A6A">
        <w:trPr>
          <w:trHeight w:val="550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Forma de acompanhamento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Verificar as datas das ocorrências dentro do intervalo mensal efetuando o devido registro das mesmas para apuração total ao fim de cada período avaliado</w:t>
            </w:r>
          </w:p>
        </w:tc>
      </w:tr>
      <w:tr w:rsidR="002B5A6A" w:rsidRPr="002B5A6A" w:rsidTr="002B5A6A">
        <w:trPr>
          <w:trHeight w:val="480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Periodicidade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Mensal</w:t>
            </w:r>
          </w:p>
        </w:tc>
      </w:tr>
      <w:tr w:rsidR="002B5A6A" w:rsidRPr="002B5A6A" w:rsidTr="002B5A6A">
        <w:trPr>
          <w:trHeight w:val="785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Mecanismo de Cálculo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Somatório da pontuação obtida em cada ocorrência apontada dentro do período definido, conforme tabela de pontuação acumulada (abaixo).</w:t>
            </w:r>
          </w:p>
        </w:tc>
      </w:tr>
      <w:tr w:rsidR="002B5A6A" w:rsidRPr="002B5A6A" w:rsidTr="002B5A6A">
        <w:trPr>
          <w:trHeight w:val="488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Início de Vigência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Data do início da execução dos serviços</w:t>
            </w:r>
          </w:p>
        </w:tc>
      </w:tr>
      <w:tr w:rsidR="002B5A6A" w:rsidRPr="002B5A6A" w:rsidTr="002B5A6A">
        <w:trPr>
          <w:trHeight w:val="470"/>
          <w:jc w:val="center"/>
        </w:trPr>
        <w:tc>
          <w:tcPr>
            <w:tcW w:w="0" w:type="auto"/>
            <w:vMerge w:val="restart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Faixas de glosa no pagamento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Até 2,0 (dois) pontos = 100% da fatura, ou seja, não há glosa.</w:t>
            </w:r>
          </w:p>
        </w:tc>
      </w:tr>
      <w:tr w:rsidR="002B5A6A" w:rsidRPr="002B5A6A" w:rsidTr="002B5A6A">
        <w:trPr>
          <w:trHeight w:val="579"/>
          <w:jc w:val="center"/>
        </w:trPr>
        <w:tc>
          <w:tcPr>
            <w:tcW w:w="0" w:type="auto"/>
            <w:vMerge/>
            <w:vAlign w:val="center"/>
          </w:tcPr>
          <w:p w:rsidR="002B5A6A" w:rsidRPr="002B5A6A" w:rsidRDefault="002B5A6A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De 2,1 à 4,0 pontos = 97% da Fatura, ou seja, glosa de 3% sobre o valor da NF.</w:t>
            </w:r>
          </w:p>
        </w:tc>
      </w:tr>
      <w:tr w:rsidR="002B5A6A" w:rsidRPr="002B5A6A" w:rsidTr="002B5A6A">
        <w:trPr>
          <w:trHeight w:val="547"/>
          <w:jc w:val="center"/>
        </w:trPr>
        <w:tc>
          <w:tcPr>
            <w:tcW w:w="0" w:type="auto"/>
            <w:vMerge/>
            <w:vAlign w:val="center"/>
          </w:tcPr>
          <w:p w:rsidR="002B5A6A" w:rsidRPr="002B5A6A" w:rsidRDefault="002B5A6A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De 4,1 à 6,0 pontos = 95% da Fatura, ou seja, glosa de 5% sobre o valor da NF.</w:t>
            </w:r>
          </w:p>
        </w:tc>
      </w:tr>
      <w:tr w:rsidR="008E20E1" w:rsidRPr="002B5A6A" w:rsidTr="002B5A6A">
        <w:trPr>
          <w:trHeight w:val="547"/>
          <w:jc w:val="center"/>
        </w:trPr>
        <w:tc>
          <w:tcPr>
            <w:tcW w:w="0" w:type="auto"/>
            <w:vMerge/>
            <w:vAlign w:val="center"/>
          </w:tcPr>
          <w:p w:rsidR="008E20E1" w:rsidRPr="002B5A6A" w:rsidRDefault="008E20E1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8E20E1" w:rsidRPr="002B5A6A" w:rsidRDefault="008E20E1" w:rsidP="002B5A6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e 6,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1 à 8,0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 xml:space="preserve"> pontos = 90% da Fatura, ou seja glosa, de 10% sobre o valor da NF</w:t>
            </w:r>
          </w:p>
        </w:tc>
      </w:tr>
      <w:tr w:rsidR="008E20E1" w:rsidRPr="002B5A6A" w:rsidTr="002B5A6A">
        <w:trPr>
          <w:trHeight w:val="547"/>
          <w:jc w:val="center"/>
        </w:trPr>
        <w:tc>
          <w:tcPr>
            <w:tcW w:w="0" w:type="auto"/>
            <w:vMerge/>
            <w:vAlign w:val="center"/>
          </w:tcPr>
          <w:p w:rsidR="008E20E1" w:rsidRPr="002B5A6A" w:rsidRDefault="008E20E1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8E20E1" w:rsidRDefault="008E20E1" w:rsidP="008E20E1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D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 xml:space="preserve">e 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8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1 à 10,0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 xml:space="preserve"> pontos = 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85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% da Fatura, ou seja glosa, de 1</w:t>
            </w: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5</w:t>
            </w:r>
            <w:r w:rsidRPr="002B5A6A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% sobre o valor da NF</w:t>
            </w:r>
          </w:p>
        </w:tc>
      </w:tr>
      <w:tr w:rsidR="002B5A6A" w:rsidRPr="002B5A6A" w:rsidTr="002B5A6A">
        <w:trPr>
          <w:trHeight w:val="547"/>
          <w:jc w:val="center"/>
        </w:trPr>
        <w:tc>
          <w:tcPr>
            <w:tcW w:w="0" w:type="auto"/>
            <w:vMerge/>
            <w:vAlign w:val="center"/>
          </w:tcPr>
          <w:p w:rsidR="002B5A6A" w:rsidRPr="002B5A6A" w:rsidRDefault="002B5A6A" w:rsidP="002B5A6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vAlign w:val="center"/>
          </w:tcPr>
          <w:p w:rsidR="002B5A6A" w:rsidRPr="002B5A6A" w:rsidRDefault="008E20E1" w:rsidP="008E20E1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10,1 pontos ou mais – inexecução parcial ou rescisão</w:t>
            </w:r>
          </w:p>
        </w:tc>
      </w:tr>
      <w:tr w:rsidR="002B5A6A" w:rsidRPr="002B5A6A" w:rsidTr="002B5A6A">
        <w:trPr>
          <w:trHeight w:val="478"/>
          <w:jc w:val="center"/>
        </w:trPr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2B5A6A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lastRenderedPageBreak/>
              <w:t>Observações</w:t>
            </w:r>
          </w:p>
        </w:tc>
        <w:tc>
          <w:tcPr>
            <w:tcW w:w="0" w:type="auto"/>
            <w:vAlign w:val="center"/>
          </w:tcPr>
          <w:p w:rsidR="002B5A6A" w:rsidRPr="002B5A6A" w:rsidRDefault="002B5A6A" w:rsidP="002B5A6A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</w:p>
        </w:tc>
      </w:tr>
    </w:tbl>
    <w:p w:rsidR="002B5A6A" w:rsidRPr="002B5A6A" w:rsidRDefault="002B5A6A" w:rsidP="002B5A6A">
      <w:pPr>
        <w:pStyle w:val="Corpodetexto"/>
        <w:rPr>
          <w:rFonts w:asciiTheme="minorHAnsi" w:hAnsiTheme="minorHAnsi" w:cstheme="minorHAnsi"/>
        </w:rPr>
      </w:pPr>
    </w:p>
    <w:p w:rsidR="002B5A6A" w:rsidRDefault="002B5A6A">
      <w:pPr>
        <w:spacing w:after="160" w:line="259" w:lineRule="auto"/>
        <w:rPr>
          <w:rFonts w:asciiTheme="minorHAnsi" w:eastAsia="Calibri" w:hAnsiTheme="minorHAnsi" w:cstheme="minorHAnsi"/>
          <w:sz w:val="24"/>
          <w:lang w:eastAsia="en-US"/>
        </w:rPr>
      </w:pPr>
    </w:p>
    <w:p w:rsidR="002B5A6A" w:rsidRPr="002B5A6A" w:rsidRDefault="002B5A6A" w:rsidP="002B5A6A">
      <w:pPr>
        <w:pStyle w:val="Corpodetexto"/>
        <w:autoSpaceDE w:val="0"/>
        <w:autoSpaceDN w:val="0"/>
        <w:jc w:val="center"/>
        <w:rPr>
          <w:rFonts w:asciiTheme="minorHAnsi" w:hAnsiTheme="minorHAnsi" w:cstheme="minorHAnsi"/>
          <w:b/>
        </w:rPr>
      </w:pPr>
      <w:r w:rsidRPr="002B5A6A">
        <w:rPr>
          <w:rFonts w:asciiTheme="minorHAnsi" w:hAnsiTheme="minorHAnsi" w:cstheme="minorHAnsi"/>
          <w:b/>
        </w:rPr>
        <w:t>TABELA DE PONTUAÇÃO DE OCORRÊNCIAS</w:t>
      </w:r>
    </w:p>
    <w:p w:rsidR="002B5A6A" w:rsidRPr="002B5A6A" w:rsidRDefault="002B5A6A" w:rsidP="002B5A6A">
      <w:pPr>
        <w:pStyle w:val="Corpodetexto"/>
        <w:ind w:left="720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786"/>
        <w:gridCol w:w="1365"/>
        <w:gridCol w:w="845"/>
        <w:gridCol w:w="572"/>
      </w:tblGrid>
      <w:tr w:rsidR="00653788" w:rsidRPr="00653788" w:rsidTr="0065378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  <w:t>Ocorrência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  <w:t>Aferição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  <w:t xml:space="preserve">N.º de ocorrências </w:t>
            </w:r>
          </w:p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pt-PT"/>
              </w:rPr>
              <w:t>no mês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 da</w:t>
            </w:r>
          </w:p>
          <w:p w:rsidR="00653788" w:rsidRPr="00653788" w:rsidRDefault="00653788" w:rsidP="00653788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ocorrência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788" w:rsidRPr="00653788" w:rsidRDefault="00653788" w:rsidP="00653788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TOTAL</w:t>
            </w:r>
          </w:p>
        </w:tc>
      </w:tr>
      <w:tr w:rsidR="00653788" w:rsidRPr="00653788" w:rsidTr="0065378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Atraso no crédito de salários além do 5º dia útil do mês imediatamente subsequente ao do mês de referência): (ordinários - mensal), décimo terceiro, férias, remunerações compensatórias e rescisões contratuais.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Condicionada à verificação pelo fiscal do contrato ou a comunicação formalizada a este, efetuada por servidor que tenha verificado sua ocorrência. Os registros das ocorrências serão individuais, ou seja,</w:t>
            </w:r>
            <w:r w:rsidRPr="0065378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</w:t>
            </w: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a cada fato verificado corresponderá uma ocorrência.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Atraso do crédito dos benefícios de vale refeição além do estabelecido (no contrato ou na Convenção Coletiva).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Condicionada à verificação pelo fiscal do contrato ou a comunicação formalizada a este, efetuada por servidor que tenha verificado sua ocorrência. Os registros das ocorrências serão individuais, ou seja, </w:t>
            </w: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Não fornecer equipamento ou fornecer diferente das especificações, ou não substituir quando necessário (Contrato e Termo de Referência).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ocorrência,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Não providenciar substituição tempestiva de quaisquer ausências de postos de serviço por absenteísmo.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 A empresa deverá substituir o empregado em até 2 horas.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Substituir funcionários sem a anuência prévia da CONTRATANTE.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 empresa deverá justificar imediatamente a razão da inexecução parcial. </w:t>
            </w: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ocorrido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Não cumprir determinações e Notificações.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Não registrar fatos ou situações no livro de ocorrências.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Recusar-se a executar serviço determinado pela FISCALIZAÇÃO, sem motivo justificado ou determinação formal.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  <w:lang w:val="pt-PT"/>
              </w:rPr>
              <w:t>Não atendimento a qualquer outra obrigação expressa no Termo de Referência não especificada nesta tabela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Deixar de cumprir e acompanhar o horário estabelecido pelo contrato ou determinado pela fiscalização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88" w:rsidRPr="00653788" w:rsidRDefault="00653788" w:rsidP="00653788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Os registros das ocorrências serão individuais, ou seja, a cada fato verificado corresponderá uma ocorrência</w:t>
            </w: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podendo ocorrer o registro de várias ocorrências na mesma data.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5378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53788" w:rsidRPr="00653788" w:rsidTr="00653788">
        <w:trPr>
          <w:trHeight w:val="315"/>
        </w:trPr>
        <w:tc>
          <w:tcPr>
            <w:tcW w:w="8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88" w:rsidRPr="00653788" w:rsidRDefault="00653788" w:rsidP="006537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2B5A6A" w:rsidRDefault="002B5A6A" w:rsidP="00AD610E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p w:rsidR="00F500BA" w:rsidRPr="00F500BA" w:rsidRDefault="00F500BA" w:rsidP="00F500BA">
      <w:pPr>
        <w:jc w:val="both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w w:val="95"/>
          <w:sz w:val="24"/>
        </w:rPr>
        <w:lastRenderedPageBreak/>
        <w:t>1.6</w:t>
      </w:r>
      <w:r w:rsidRPr="00F500BA">
        <w:rPr>
          <w:rFonts w:asciiTheme="minorHAnsi" w:hAnsiTheme="minorHAnsi" w:cstheme="minorHAnsi"/>
          <w:b/>
          <w:w w:val="95"/>
          <w:sz w:val="24"/>
        </w:rPr>
        <w:t>.</w:t>
      </w:r>
      <w:r w:rsidRPr="00F500BA">
        <w:rPr>
          <w:rFonts w:asciiTheme="minorHAnsi" w:hAnsiTheme="minorHAnsi" w:cstheme="minorHAnsi"/>
          <w:w w:val="95"/>
          <w:sz w:val="24"/>
        </w:rPr>
        <w:t xml:space="preserve"> </w:t>
      </w:r>
      <w:r w:rsidRPr="00F500BA">
        <w:rPr>
          <w:rFonts w:asciiTheme="minorHAnsi" w:hAnsiTheme="minorHAnsi" w:cstheme="minorHAnsi"/>
          <w:color w:val="000000"/>
          <w:sz w:val="24"/>
        </w:rPr>
        <w:t>O relatório da avaliação deve ser claro e objetivo, apresentando os pontos considerados e incluindo a documentação correspondente. Caso a meta não seja cumprida, o relatório de avaliação será enviado à CONTRATADA com prazo aberto para manifestação.</w:t>
      </w:r>
    </w:p>
    <w:p w:rsidR="00F500BA" w:rsidRPr="00F500BA" w:rsidRDefault="00F500BA" w:rsidP="00F500BA">
      <w:pPr>
        <w:jc w:val="both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w w:val="95"/>
          <w:sz w:val="24"/>
        </w:rPr>
        <w:t>1.7</w:t>
      </w:r>
      <w:r w:rsidRPr="00F500BA">
        <w:rPr>
          <w:rFonts w:asciiTheme="minorHAnsi" w:hAnsiTheme="minorHAnsi" w:cstheme="minorHAnsi"/>
          <w:b/>
          <w:w w:val="95"/>
          <w:sz w:val="24"/>
        </w:rPr>
        <w:t>.</w:t>
      </w:r>
      <w:r w:rsidRPr="00F500BA">
        <w:rPr>
          <w:rFonts w:asciiTheme="minorHAnsi" w:hAnsiTheme="minorHAnsi" w:cstheme="minorHAnsi"/>
          <w:w w:val="95"/>
          <w:sz w:val="24"/>
        </w:rPr>
        <w:t xml:space="preserve"> </w:t>
      </w:r>
      <w:r w:rsidRPr="00F500BA">
        <w:rPr>
          <w:rFonts w:asciiTheme="minorHAnsi" w:hAnsiTheme="minorHAnsi" w:cstheme="minorHAnsi"/>
          <w:color w:val="000000"/>
          <w:sz w:val="24"/>
        </w:rPr>
        <w:t>As eventuais justificavas às falhas apontadas devem ser encaminhadas pela CONTRATADA ao servidor responsável pela fiscalização do contrato.</w:t>
      </w:r>
    </w:p>
    <w:p w:rsidR="00F500BA" w:rsidRPr="00F500BA" w:rsidRDefault="00F500BA" w:rsidP="00F500BA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F500BA">
        <w:rPr>
          <w:rFonts w:asciiTheme="minorHAnsi" w:hAnsiTheme="minorHAnsi" w:cstheme="minorHAnsi"/>
          <w:b/>
          <w:w w:val="95"/>
          <w:sz w:val="24"/>
        </w:rPr>
        <w:t>1</w:t>
      </w:r>
      <w:r>
        <w:rPr>
          <w:rFonts w:asciiTheme="minorHAnsi" w:hAnsiTheme="minorHAnsi" w:cstheme="minorHAnsi"/>
          <w:b/>
          <w:w w:val="95"/>
          <w:sz w:val="24"/>
        </w:rPr>
        <w:t>.8</w:t>
      </w:r>
      <w:r w:rsidRPr="00F500BA">
        <w:rPr>
          <w:rFonts w:asciiTheme="minorHAnsi" w:hAnsiTheme="minorHAnsi" w:cstheme="minorHAnsi"/>
          <w:b/>
          <w:w w:val="95"/>
          <w:sz w:val="24"/>
        </w:rPr>
        <w:t>.</w:t>
      </w:r>
      <w:r w:rsidRPr="00F500BA">
        <w:rPr>
          <w:rFonts w:asciiTheme="minorHAnsi" w:hAnsiTheme="minorHAnsi" w:cstheme="minorHAnsi"/>
          <w:w w:val="95"/>
          <w:sz w:val="24"/>
        </w:rPr>
        <w:t xml:space="preserve"> </w:t>
      </w:r>
      <w:r w:rsidRPr="00F500BA">
        <w:rPr>
          <w:rFonts w:asciiTheme="minorHAnsi" w:hAnsiTheme="minorHAnsi" w:cstheme="minorHAnsi"/>
          <w:color w:val="000000"/>
          <w:sz w:val="24"/>
        </w:rPr>
        <w:t xml:space="preserve">Dirimidas as dúvidas, o fiscal do contrato formaliza o </w:t>
      </w:r>
      <w:r w:rsidRPr="0037661F">
        <w:rPr>
          <w:rFonts w:asciiTheme="minorHAnsi" w:hAnsiTheme="minorHAnsi" w:cstheme="minorHAnsi"/>
          <w:b/>
          <w:color w:val="000000"/>
          <w:sz w:val="24"/>
        </w:rPr>
        <w:t>fator de qualidade ajustando</w:t>
      </w:r>
      <w:r w:rsidRPr="00F500BA">
        <w:rPr>
          <w:rFonts w:asciiTheme="minorHAnsi" w:hAnsiTheme="minorHAnsi" w:cstheme="minorHAnsi"/>
          <w:color w:val="000000"/>
          <w:sz w:val="24"/>
        </w:rPr>
        <w:t xml:space="preserve"> o valor da medição ao IMR obtido. Com isso se obtém o valor da fatura e se configura o recebimento definitivo que autoriza a CONTRATADA a emitir a Nota Fiscal de seus serviços.</w:t>
      </w:r>
    </w:p>
    <w:p w:rsidR="00F500BA" w:rsidRPr="00180E92" w:rsidRDefault="00F500BA" w:rsidP="00F500BA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80E92">
        <w:rPr>
          <w:rFonts w:asciiTheme="minorHAnsi" w:hAnsiTheme="minorHAnsi" w:cstheme="minorHAnsi"/>
          <w:b/>
          <w:w w:val="95"/>
          <w:sz w:val="24"/>
        </w:rPr>
        <w:t>1.9.</w:t>
      </w:r>
      <w:r w:rsidRPr="00180E92">
        <w:rPr>
          <w:rFonts w:asciiTheme="minorHAnsi" w:hAnsiTheme="minorHAnsi" w:cstheme="minorHAnsi"/>
          <w:w w:val="95"/>
          <w:sz w:val="24"/>
        </w:rPr>
        <w:t xml:space="preserve"> </w:t>
      </w:r>
      <w:r w:rsidRPr="00180E92">
        <w:rPr>
          <w:rFonts w:asciiTheme="minorHAnsi" w:hAnsiTheme="minorHAnsi" w:cstheme="minorHAnsi"/>
          <w:color w:val="000000"/>
          <w:sz w:val="24"/>
        </w:rPr>
        <w:t>A aplicação dos descontos referidos neste IMR não excluirá eventual aplicação das sanções previstas no contrato.</w:t>
      </w:r>
    </w:p>
    <w:p w:rsidR="00F500BA" w:rsidRPr="00180E92" w:rsidRDefault="00F500BA" w:rsidP="00AD610E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p w:rsidR="00180E92" w:rsidRPr="002B5A6A" w:rsidRDefault="00180E92" w:rsidP="00AD610E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p w:rsidR="006764A8" w:rsidRPr="002B5A6A" w:rsidRDefault="006764A8">
      <w:pPr>
        <w:jc w:val="both"/>
        <w:rPr>
          <w:rFonts w:asciiTheme="minorHAnsi" w:hAnsiTheme="minorHAnsi" w:cstheme="minorHAnsi"/>
          <w:b/>
          <w:w w:val="95"/>
          <w:sz w:val="24"/>
        </w:rPr>
      </w:pPr>
    </w:p>
    <w:sectPr w:rsidR="006764A8" w:rsidRPr="002B5A6A" w:rsidSect="00A817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50682"/>
    <w:multiLevelType w:val="multilevel"/>
    <w:tmpl w:val="2E84D646"/>
    <w:lvl w:ilvl="0">
      <w:start w:val="1"/>
      <w:numFmt w:val="decimal"/>
      <w:lvlText w:val="%1."/>
      <w:lvlJc w:val="left"/>
      <w:pPr>
        <w:ind w:left="326" w:hanging="187"/>
      </w:pPr>
      <w:rPr>
        <w:rFonts w:hint="default"/>
        <w:w w:val="103"/>
        <w:u w:val="none"/>
        <w:lang w:val="pt-PT" w:eastAsia="pt-PT" w:bidi="pt-PT"/>
      </w:rPr>
    </w:lvl>
    <w:lvl w:ilvl="1">
      <w:start w:val="1"/>
      <w:numFmt w:val="decimal"/>
      <w:lvlText w:val="%2."/>
      <w:lvlJc w:val="left"/>
      <w:pPr>
        <w:ind w:left="500" w:hanging="1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pt-PT" w:bidi="pt-PT"/>
      </w:rPr>
    </w:lvl>
    <w:lvl w:ilvl="2">
      <w:start w:val="1"/>
      <w:numFmt w:val="decimal"/>
      <w:lvlText w:val="%2.%3"/>
      <w:lvlJc w:val="left"/>
      <w:pPr>
        <w:ind w:left="500" w:hanging="241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2819" w:hanging="241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979" w:hanging="241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139" w:hanging="241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99" w:hanging="241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59" w:hanging="241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19" w:hanging="241"/>
      </w:pPr>
      <w:rPr>
        <w:rFonts w:hint="default"/>
        <w:lang w:val="pt-PT" w:eastAsia="pt-PT" w:bidi="pt-PT"/>
      </w:rPr>
    </w:lvl>
  </w:abstractNum>
  <w:abstractNum w:abstractNumId="1" w15:restartNumberingAfterBreak="0">
    <w:nsid w:val="4C8135E9"/>
    <w:multiLevelType w:val="hybridMultilevel"/>
    <w:tmpl w:val="48A43D9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191"/>
    <w:rsid w:val="00180E92"/>
    <w:rsid w:val="002B5A6A"/>
    <w:rsid w:val="00325068"/>
    <w:rsid w:val="0037661F"/>
    <w:rsid w:val="003D31F1"/>
    <w:rsid w:val="00484E6C"/>
    <w:rsid w:val="00653788"/>
    <w:rsid w:val="006764A8"/>
    <w:rsid w:val="006B6AEF"/>
    <w:rsid w:val="007468F2"/>
    <w:rsid w:val="00833600"/>
    <w:rsid w:val="008730F3"/>
    <w:rsid w:val="008E20E1"/>
    <w:rsid w:val="008E7829"/>
    <w:rsid w:val="00AA176C"/>
    <w:rsid w:val="00AD610E"/>
    <w:rsid w:val="00B66629"/>
    <w:rsid w:val="00B95568"/>
    <w:rsid w:val="00BC79F6"/>
    <w:rsid w:val="00CD5191"/>
    <w:rsid w:val="00D477C3"/>
    <w:rsid w:val="00E14767"/>
    <w:rsid w:val="00E15C93"/>
    <w:rsid w:val="00EB592C"/>
    <w:rsid w:val="00F20A95"/>
    <w:rsid w:val="00F500BA"/>
    <w:rsid w:val="00F8641A"/>
    <w:rsid w:val="00FB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9C778-5DC6-4060-9966-86A6DB29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5191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link w:val="Ttulo1Char"/>
    <w:uiPriority w:val="1"/>
    <w:qFormat/>
    <w:rsid w:val="002B5A6A"/>
    <w:pPr>
      <w:widowControl w:val="0"/>
      <w:autoSpaceDE w:val="0"/>
      <w:autoSpaceDN w:val="0"/>
      <w:ind w:left="212"/>
      <w:outlineLvl w:val="0"/>
    </w:pPr>
    <w:rPr>
      <w:rFonts w:ascii="Calibri" w:eastAsia="Calibri" w:hAnsi="Calibri" w:cs="Calibri"/>
      <w:b/>
      <w:bCs/>
      <w:sz w:val="24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CD5191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1"/>
    <w:rsid w:val="00CD5191"/>
    <w:rPr>
      <w:rFonts w:ascii="Arial" w:eastAsia="Times New Roman" w:hAnsi="Arial" w:cs="Tahoma"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D5191"/>
    <w:pPr>
      <w:widowControl w:val="0"/>
    </w:pPr>
    <w:rPr>
      <w:rFonts w:ascii="Calibri" w:eastAsia="Calibri" w:hAnsi="Calibri" w:cs="Calibri"/>
      <w:sz w:val="24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CD5191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D5191"/>
    <w:pPr>
      <w:widowControl w:val="0"/>
      <w:ind w:left="103"/>
    </w:pPr>
    <w:rPr>
      <w:rFonts w:ascii="Times New Roman" w:hAnsi="Times New Roman" w:cs="Times New Roman"/>
      <w:sz w:val="22"/>
      <w:szCs w:val="22"/>
      <w:lang w:val="en-US" w:eastAsia="en-US"/>
    </w:rPr>
  </w:style>
  <w:style w:type="table" w:styleId="Tabelacomgrade">
    <w:name w:val="Table Grid"/>
    <w:basedOn w:val="Tabelanormal"/>
    <w:uiPriority w:val="39"/>
    <w:rsid w:val="0083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1"/>
    <w:rsid w:val="002B5A6A"/>
    <w:rPr>
      <w:rFonts w:ascii="Calibri" w:eastAsia="Calibri" w:hAnsi="Calibri" w:cs="Calibri"/>
      <w:b/>
      <w:bCs/>
      <w:sz w:val="24"/>
      <w:szCs w:val="24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9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5</cp:revision>
  <dcterms:created xsi:type="dcterms:W3CDTF">2022-06-13T13:18:00Z</dcterms:created>
  <dcterms:modified xsi:type="dcterms:W3CDTF">2022-06-15T15:26:00Z</dcterms:modified>
</cp:coreProperties>
</file>